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EC3D" w14:textId="77777777" w:rsidR="00EE3C56" w:rsidRPr="00DC35EA" w:rsidRDefault="00EE3C56" w:rsidP="00E1075E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>Техникалық шығармашылық және өнертапқыштардың</w:t>
      </w:r>
    </w:p>
    <w:p w14:paraId="4390DCEA" w14:textId="77777777" w:rsidR="00EE3C56" w:rsidRPr="00DC35EA" w:rsidRDefault="00EE3C56" w:rsidP="00E1075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әуе, зымыран, көлік, кеме құрастыру) республикалық жарысын</w:t>
      </w:r>
      <w:r w:rsidR="00E1075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ың</w:t>
      </w: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2777E77C" w14:textId="77777777" w:rsidR="00EE3C56" w:rsidRPr="00DC35EA" w:rsidRDefault="00E1075E" w:rsidP="00E1075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облыстық кезеңін </w:t>
      </w:r>
      <w:r w:rsidR="00EE3C56"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өткізу ережелері</w:t>
      </w:r>
    </w:p>
    <w:p w14:paraId="3DF837CB" w14:textId="77777777" w:rsidR="00EE3C56" w:rsidRPr="00DC35EA" w:rsidRDefault="00EE3C56" w:rsidP="00E1075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68145FA" w14:textId="77777777" w:rsidR="00EE3C56" w:rsidRPr="00DC35EA" w:rsidRDefault="00EE3C56" w:rsidP="00E1075E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>1. Жалпы ережелер</w:t>
      </w:r>
    </w:p>
    <w:p w14:paraId="586682DA" w14:textId="77777777" w:rsidR="00EE3C56" w:rsidRPr="00DC35EA" w:rsidRDefault="00EE3C56" w:rsidP="00E1075E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</w:p>
    <w:p w14:paraId="6FB6C8EC" w14:textId="77777777" w:rsidR="00EE3C56" w:rsidRPr="00E1075E" w:rsidRDefault="00854BFF" w:rsidP="001574F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1.1.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Техникалық шығармашылық және өнертапқыштардың (әуе, зымыран, көлік, кеме құрастыру) республикалық </w:t>
      </w:r>
      <w:r w:rsidR="00E1075E" w:rsidRPr="001574F6">
        <w:rPr>
          <w:rFonts w:ascii="Times New Roman" w:eastAsia="Calibri" w:hAnsi="Times New Roman" w:cs="Times New Roman"/>
          <w:sz w:val="28"/>
          <w:szCs w:val="28"/>
          <w:lang w:val="kk-KZ"/>
        </w:rPr>
        <w:t>жарысының облыстық кезеңін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өткізу ережелері (бұдан әрі – Жарыс) оның мақсатын, міндеттерін, ұйымдастыру форматын, оны өткізу және қорытынды шығару тәртібін анықтайды.</w:t>
      </w:r>
    </w:p>
    <w:p w14:paraId="5246FCDF" w14:textId="77777777" w:rsidR="00854BFF" w:rsidRDefault="00854BFF" w:rsidP="00854BFF">
      <w:pPr>
        <w:widowControl w:val="0"/>
        <w:tabs>
          <w:tab w:val="left" w:pos="0"/>
          <w:tab w:val="left" w:pos="993"/>
          <w:tab w:val="left" w:pos="1134"/>
          <w:tab w:val="left" w:pos="13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Жарыстың мақсаты: Қазақстан Республикасында балалардың техникалық шығармашылығын дамыту, тұлғаның шығармашылық құзыреттілігінде бәсекелестік артықшылықтарын қалыптастыру, білім алушылардың өзін-өзі кәсіби анықтауы үшін жағдай жасау, </w:t>
      </w:r>
      <w:r w:rsidR="00EE3C56" w:rsidRPr="00DC35E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kk-KZ"/>
        </w:rPr>
        <w:t>балаларды қосымша біліммен қамту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085FC9A9" w14:textId="77777777" w:rsidR="00EE3C56" w:rsidRPr="00DC35EA" w:rsidRDefault="00854BFF" w:rsidP="00854BFF">
      <w:pPr>
        <w:widowControl w:val="0"/>
        <w:tabs>
          <w:tab w:val="left" w:pos="0"/>
          <w:tab w:val="left" w:pos="993"/>
          <w:tab w:val="left" w:pos="1134"/>
          <w:tab w:val="left" w:pos="13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1.3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 Жарыстың міндеттері:</w:t>
      </w:r>
    </w:p>
    <w:p w14:paraId="5DC81948" w14:textId="77777777" w:rsidR="00EE3C56" w:rsidRPr="00DC35EA" w:rsidRDefault="006A192B" w:rsidP="001574F6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әр түрлі өңірлердің білім алушылары мен педагогтерінің тәжірибе алмасуына жағдай жасау;</w:t>
      </w:r>
    </w:p>
    <w:p w14:paraId="607EC488" w14:textId="77777777" w:rsidR="00EE3C56" w:rsidRPr="00DC35EA" w:rsidRDefault="006A192B" w:rsidP="001574F6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техникалық шығармашылық бойынша үздік жұмыс тәжірибесін насихаттау;</w:t>
      </w:r>
    </w:p>
    <w:p w14:paraId="7A468C64" w14:textId="77777777" w:rsidR="00EE3C56" w:rsidRPr="00DC35EA" w:rsidRDefault="006A192B" w:rsidP="001574F6">
      <w:pPr>
        <w:tabs>
          <w:tab w:val="left" w:pos="0"/>
          <w:tab w:val="left" w:pos="993"/>
          <w:tab w:val="left" w:pos="1134"/>
          <w:tab w:val="left" w:pos="3040"/>
          <w:tab w:val="left" w:pos="5264"/>
          <w:tab w:val="left" w:pos="6977"/>
          <w:tab w:val="left" w:pos="80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балаларды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инновациялық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ғылыми-техникалық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шығармашылыққа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тарту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F84C33F" w14:textId="77777777" w:rsidR="00EE3C56" w:rsidRPr="00DC35EA" w:rsidRDefault="006A192B" w:rsidP="001574F6">
      <w:pPr>
        <w:tabs>
          <w:tab w:val="left" w:pos="0"/>
          <w:tab w:val="left" w:pos="993"/>
          <w:tab w:val="left" w:pos="1134"/>
          <w:tab w:val="left" w:pos="3040"/>
          <w:tab w:val="left" w:pos="5264"/>
          <w:tab w:val="left" w:pos="6977"/>
          <w:tab w:val="left" w:pos="80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инновациялық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технологиялар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саласында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жаңа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pacing w:val="-1"/>
          <w:sz w:val="28"/>
          <w:szCs w:val="28"/>
        </w:rPr>
        <w:t>құзыреттілікті</w:t>
      </w:r>
      <w:proofErr w:type="spellEnd"/>
      <w:r w:rsidR="00EE3C56" w:rsidRPr="00DC35EA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қалыптастыру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434FE2" w14:textId="77777777" w:rsidR="00EE3C56" w:rsidRPr="00DC35EA" w:rsidRDefault="006A192B" w:rsidP="001574F6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техникалық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шығармашылық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өнертапқыштық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саласында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оқитын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дарынды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талантты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алушыларды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анықтау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5C5EA6" w14:textId="77777777" w:rsidR="00EE3C56" w:rsidRPr="00DC35EA" w:rsidRDefault="006A192B" w:rsidP="001574F6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топпен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шығармашылық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дағдыларын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қалыптастыру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A8066F" w14:textId="77777777" w:rsidR="00EE3C56" w:rsidRDefault="006A192B" w:rsidP="001574F6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іс-шаралар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қосымша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біліммен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қамтылған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санын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арттыруға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ықпал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ету</w:t>
      </w:r>
      <w:proofErr w:type="spellEnd"/>
      <w:r w:rsidR="00EE3C56" w:rsidRPr="00DC35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0B9B07" w14:textId="77777777" w:rsidR="00E1075E" w:rsidRPr="00C256F8" w:rsidRDefault="00854BFF" w:rsidP="00157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1.4. </w:t>
      </w:r>
      <w:r w:rsidR="00E1075E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>Жарыстың</w:t>
      </w:r>
      <w:r w:rsidR="00E1075E" w:rsidRPr="00C256F8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 ұйымдастырушысы Шығыс Қазақстан облысының білім басқармасы</w:t>
      </w:r>
      <w:r w:rsidR="000C55CE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>ның</w:t>
      </w:r>
      <w:r w:rsidR="00E1075E" w:rsidRPr="00C256F8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, </w:t>
      </w:r>
      <w:r w:rsidR="000C55CE" w:rsidRPr="00C256F8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>«</w:t>
      </w:r>
      <w:r w:rsidR="00E1075E" w:rsidRPr="00C256F8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>Дарындылық пен қосымша білім беруді дамытудың Шығыс Қазақстан ғылыми-әдістемелік «Дарын» орталығы (бұдан әрі - ДпҚББД ШҚ ҒӘ «Дарын» орталығы).</w:t>
      </w:r>
    </w:p>
    <w:p w14:paraId="6747390D" w14:textId="77777777" w:rsidR="00E1075E" w:rsidRPr="00C256F8" w:rsidRDefault="00E1075E" w:rsidP="00157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</w:pPr>
      <w:r w:rsidRPr="00C256F8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1.5. </w:t>
      </w:r>
      <w:r w:rsidR="00923469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>Жарысты</w:t>
      </w:r>
      <w:r w:rsidR="000C55CE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 ұйымдастырушы</w:t>
      </w:r>
      <w:r w:rsidRPr="00C256F8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 Ұйымдастыру комитетінің және әділ қазылар алқасының құрамын қалыптастырады, байқауды өткізуді жүзеге асырады, нәтижелерді талдайды және қорытындысын шығарады.</w:t>
      </w:r>
    </w:p>
    <w:p w14:paraId="32649BF0" w14:textId="77777777" w:rsidR="00E1075E" w:rsidRPr="00E1075E" w:rsidRDefault="00E1075E" w:rsidP="001574F6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8BF1576" w14:textId="77777777" w:rsidR="00EE3C56" w:rsidRPr="00DC35EA" w:rsidRDefault="00EE3C56" w:rsidP="001574F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>2. Жарысты өткізу мерзімі және тәртібі</w:t>
      </w:r>
    </w:p>
    <w:p w14:paraId="35A73073" w14:textId="77777777" w:rsidR="00EE3C56" w:rsidRPr="00DC35EA" w:rsidRDefault="00EE3C56" w:rsidP="001574F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</w:p>
    <w:p w14:paraId="69FA8AC9" w14:textId="77777777" w:rsidR="00EE3C56" w:rsidRPr="00DC35EA" w:rsidRDefault="001574F6" w:rsidP="001574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2.1.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Жарыс </w:t>
      </w:r>
      <w:r w:rsidR="00E55F1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Өск</w:t>
      </w:r>
      <w:r w:rsidR="00854BF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е</w:t>
      </w:r>
      <w:r w:rsidR="00E55F1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мен қаласында</w:t>
      </w:r>
      <w:r w:rsidR="00EE3C56"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2024 жыл</w:t>
      </w:r>
      <w:r w:rsidR="00E55F1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дың 15 мамырында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өткізіледі. </w:t>
      </w:r>
    </w:p>
    <w:p w14:paraId="4BAB2725" w14:textId="77777777" w:rsidR="00923469" w:rsidRPr="003721A7" w:rsidRDefault="001574F6" w:rsidP="00157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2.2. </w:t>
      </w:r>
      <w:r w:rsidR="00923469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Аудандардың, қалалардың білім бөлімдерінің қолы қойылған </w:t>
      </w:r>
      <w:r w:rsidR="00923469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Жарысқа қатысу</w:t>
      </w:r>
      <w:r w:rsidR="00923469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 туралы ілеспе хат </w:t>
      </w:r>
      <w:r w:rsidR="00923469" w:rsidRPr="000C55CE">
        <w:rPr>
          <w:rFonts w:ascii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2024 жылдың 5 мамырына</w:t>
      </w:r>
      <w:r w:rsidR="00923469" w:rsidRPr="001574F6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 дейін </w:t>
      </w:r>
      <w:r w:rsidR="00923469" w:rsidRPr="000C55CE">
        <w:rPr>
          <w:rFonts w:ascii="Times New Roman" w:hAnsi="Times New Roman" w:cs="Times New Roman"/>
          <w:b/>
          <w:color w:val="000022"/>
          <w:sz w:val="28"/>
          <w:szCs w:val="28"/>
          <w:u w:val="single"/>
          <w:lang w:val="kk-KZ" w:eastAsia="ru-RU"/>
        </w:rPr>
        <w:t>konkurs.vko@mail.ru</w:t>
      </w:r>
      <w:r w:rsidR="00923469" w:rsidRPr="008F7261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  электрондық </w:t>
      </w:r>
      <w:r w:rsidR="00923469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>поштасына қабылданады.</w:t>
      </w:r>
    </w:p>
    <w:p w14:paraId="0009A663" w14:textId="77777777" w:rsidR="00923469" w:rsidRDefault="00923469" w:rsidP="001574F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D40E5AE" w14:textId="77777777" w:rsidR="00EE3C56" w:rsidRPr="00DC35EA" w:rsidRDefault="00EE3C56" w:rsidP="001574F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>3. Жарысқа қатысушылар</w:t>
      </w:r>
    </w:p>
    <w:p w14:paraId="0DB80328" w14:textId="77777777" w:rsidR="00EE3C56" w:rsidRPr="00DC35EA" w:rsidRDefault="00EE3C56" w:rsidP="001574F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</w:p>
    <w:p w14:paraId="675DC67A" w14:textId="77777777" w:rsidR="00EE3C56" w:rsidRPr="00DC35EA" w:rsidRDefault="001574F6" w:rsidP="001574F6">
      <w:pPr>
        <w:widowControl w:val="0"/>
        <w:tabs>
          <w:tab w:val="left" w:pos="0"/>
          <w:tab w:val="left" w:pos="1134"/>
          <w:tab w:val="left" w:pos="14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Жарысқа </w:t>
      </w:r>
      <w:r w:rsidR="00070798">
        <w:rPr>
          <w:rFonts w:ascii="Times New Roman" w:eastAsia="Calibri" w:hAnsi="Times New Roman" w:cs="Times New Roman"/>
          <w:sz w:val="28"/>
          <w:szCs w:val="28"/>
          <w:lang w:val="kk-KZ"/>
        </w:rPr>
        <w:t>аудандық,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қалалық жарыстардың жеңімпаз командалары</w:t>
      </w:r>
      <w:r w:rsidR="000707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70798" w:rsidRPr="00070798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 xml:space="preserve">– облыстың жалпы орта, қосымша білім беру ұйымдарының білім алушылары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қатысады</w:t>
      </w:r>
      <w:r w:rsidR="004F36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Жарысқа қатысушылардың жасы: </w:t>
      </w:r>
      <w:r w:rsidR="00EE3C56"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10-17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жас. </w:t>
      </w:r>
    </w:p>
    <w:p w14:paraId="3493639E" w14:textId="77777777" w:rsidR="00EE3C56" w:rsidRPr="00DC35EA" w:rsidRDefault="00EE3C56" w:rsidP="001574F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</w:pP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lastRenderedPageBreak/>
        <w:t>4. Жарысты өткізу тәртібі және шарты</w:t>
      </w:r>
    </w:p>
    <w:p w14:paraId="15616DD5" w14:textId="77777777" w:rsidR="00EE3C56" w:rsidRPr="00DC35EA" w:rsidRDefault="00EE3C56" w:rsidP="001574F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 w:bidi="ru-RU"/>
        </w:rPr>
      </w:pPr>
    </w:p>
    <w:p w14:paraId="55BF3827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="001574F6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Балаларды іс-шараларға араластыру арқылы қосымша біліммен қамтылуын</w:t>
      </w:r>
      <w:r w:rsidR="001574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арттыру үшін Жарыс 3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кезеңде өткізіледі:</w:t>
      </w:r>
    </w:p>
    <w:p w14:paraId="23DA1DB7" w14:textId="77777777" w:rsidR="00EE3C56" w:rsidRPr="00DC35EA" w:rsidRDefault="00D843B5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бірінші кезең (іріктеу) – өңірлік; </w:t>
      </w:r>
    </w:p>
    <w:p w14:paraId="01B2BE64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мектепішілік;</w:t>
      </w:r>
    </w:p>
    <w:p w14:paraId="413EABB0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аудандық (қалалық);</w:t>
      </w:r>
    </w:p>
    <w:p w14:paraId="1C4D62F9" w14:textId="77777777" w:rsidR="001574F6" w:rsidRDefault="007D235E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екінші кезең </w:t>
      </w:r>
      <w:r w:rsidRPr="007D235E">
        <w:rPr>
          <w:rFonts w:ascii="Times New Roman" w:hAnsi="Times New Roman" w:cs="Times New Roman"/>
          <w:color w:val="000022"/>
          <w:sz w:val="28"/>
          <w:szCs w:val="28"/>
          <w:lang w:val="kk-KZ"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574F6">
        <w:rPr>
          <w:rFonts w:ascii="Times New Roman" w:eastAsia="Calibri" w:hAnsi="Times New Roman" w:cs="Times New Roman"/>
          <w:sz w:val="28"/>
          <w:szCs w:val="28"/>
          <w:lang w:val="kk-KZ"/>
        </w:rPr>
        <w:t>облыстық, қалалық;</w:t>
      </w:r>
    </w:p>
    <w:p w14:paraId="5FDAA161" w14:textId="77777777" w:rsidR="00EE3C56" w:rsidRPr="00DC35EA" w:rsidRDefault="007D235E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үшінші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кезең (қорытынды) – республикалық.</w:t>
      </w:r>
    </w:p>
    <w:p w14:paraId="616DE58C" w14:textId="77777777" w:rsidR="00EE3C56" w:rsidRPr="00DC35EA" w:rsidRDefault="001574F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4.2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 Жарыстың бірінші (іріктеу) ке</w:t>
      </w:r>
      <w:r w:rsidR="007D23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зеңін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өткізу мерзімі аудандық (қалалық) білім бөлімдері, облыстардың, </w:t>
      </w:r>
      <w:r w:rsidR="007D235E">
        <w:rPr>
          <w:rFonts w:ascii="Times New Roman" w:eastAsia="Calibri" w:hAnsi="Times New Roman" w:cs="Times New Roman"/>
          <w:sz w:val="28"/>
          <w:szCs w:val="28"/>
          <w:lang w:val="kk-KZ"/>
        </w:rPr>
        <w:t>қалалардың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білім басқармалары басшыларының бұйрықтарымен анықталады.</w:t>
      </w:r>
    </w:p>
    <w:p w14:paraId="500C077F" w14:textId="77777777" w:rsidR="00EE3C56" w:rsidRPr="00DC35EA" w:rsidRDefault="001574F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4.3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Жарыстар келесі модельдердің кластары бойынша өткізіледі: </w:t>
      </w:r>
    </w:p>
    <w:p w14:paraId="78887298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Радиомен басқарылатын көлік модельдері:</w:t>
      </w:r>
    </w:p>
    <w:p w14:paraId="25A11ACB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1. 1:10 масштабта көлік модельдерін мәнерлеп жүргізу; РЦБ класы;</w:t>
      </w:r>
    </w:p>
    <w:p w14:paraId="308DB50A" w14:textId="77777777" w:rsidR="00EE3C56" w:rsidRPr="00DC35EA" w:rsidRDefault="007D235E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1:10 масштабта багги жарысы (4wd). Багги-10Э.</w:t>
      </w:r>
    </w:p>
    <w:p w14:paraId="47670B90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proofErr w:type="spellStart"/>
      <w:r w:rsidRPr="00DC35EA">
        <w:rPr>
          <w:rFonts w:ascii="Times New Roman" w:eastAsia="Calibri" w:hAnsi="Times New Roman" w:cs="Times New Roman"/>
          <w:b/>
          <w:spacing w:val="-2"/>
          <w:sz w:val="28"/>
          <w:szCs w:val="28"/>
        </w:rPr>
        <w:t>Әуе</w:t>
      </w:r>
      <w:proofErr w:type="spellEnd"/>
      <w:r w:rsidRPr="00DC35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C35EA">
        <w:rPr>
          <w:rFonts w:ascii="Times New Roman" w:eastAsia="Calibri" w:hAnsi="Times New Roman" w:cs="Times New Roman"/>
          <w:b/>
          <w:sz w:val="28"/>
          <w:szCs w:val="28"/>
        </w:rPr>
        <w:t>модельдері</w:t>
      </w:r>
      <w:proofErr w:type="spellEnd"/>
      <w:r w:rsidRPr="00DC35E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7335F5D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Pr="00DC35EA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DC35EA">
        <w:rPr>
          <w:rFonts w:ascii="Times New Roman" w:eastAsia="Calibri" w:hAnsi="Times New Roman" w:cs="Times New Roman"/>
          <w:sz w:val="28"/>
          <w:szCs w:val="28"/>
        </w:rPr>
        <w:t>-3-Р (</w:t>
      </w:r>
      <w:proofErr w:type="spellStart"/>
      <w:r w:rsidRPr="00DC35EA">
        <w:rPr>
          <w:rFonts w:ascii="Times New Roman" w:eastAsia="Calibri" w:hAnsi="Times New Roman" w:cs="Times New Roman"/>
          <w:sz w:val="28"/>
          <w:szCs w:val="28"/>
        </w:rPr>
        <w:t>пенолёт</w:t>
      </w:r>
      <w:proofErr w:type="spellEnd"/>
      <w:r w:rsidRPr="00DC35EA">
        <w:rPr>
          <w:rFonts w:ascii="Times New Roman" w:eastAsia="Calibri" w:hAnsi="Times New Roman" w:cs="Times New Roman"/>
          <w:sz w:val="28"/>
          <w:szCs w:val="28"/>
        </w:rPr>
        <w:t>)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35EA">
        <w:rPr>
          <w:rFonts w:ascii="Times New Roman" w:eastAsia="Calibri" w:hAnsi="Times New Roman" w:cs="Times New Roman"/>
          <w:sz w:val="28"/>
          <w:szCs w:val="28"/>
        </w:rPr>
        <w:t>моделі</w:t>
      </w:r>
      <w:proofErr w:type="spellEnd"/>
      <w:r w:rsidRPr="00DC35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E5AA2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2. F-1-H планер моделі;</w:t>
      </w:r>
    </w:p>
    <w:p w14:paraId="3547EF9D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3. кордалы жарты копия, контурлы моделі.</w:t>
      </w:r>
    </w:p>
    <w:p w14:paraId="23C0300E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Кеме модельдері:</w:t>
      </w:r>
    </w:p>
    <w:p w14:paraId="1F0050A5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1. Ф -2 -А;</w:t>
      </w:r>
    </w:p>
    <w:p w14:paraId="6A228F53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10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2. Eco Expert;</w:t>
      </w:r>
    </w:p>
    <w:p w14:paraId="4AE144A2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3.  Mini Eco Expert.</w:t>
      </w:r>
    </w:p>
    <w:p w14:paraId="3F12E0C1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Зымыран модельдері:</w:t>
      </w:r>
    </w:p>
    <w:p w14:paraId="52452726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1. S6А – стример.</w:t>
      </w:r>
    </w:p>
    <w:p w14:paraId="41FBD13E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Тікелей жүретін автотрассалық модельдер (жартылай көшірме): </w:t>
      </w:r>
    </w:p>
    <w:p w14:paraId="74971BB3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1. 1/24 масштабтағы модель.</w:t>
      </w:r>
    </w:p>
    <w:p w14:paraId="640E9C9C" w14:textId="77777777" w:rsidR="00EE3C56" w:rsidRPr="00DC35EA" w:rsidRDefault="001574F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4.4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Модельдердің әр класында командадан 1 қатысушыдан артық қатыспауы керек.  Жарыстың әрбір түрі өлшемдері, бояуы және формасымен арнайы құрылған алаңда өткізіледі. Жарыстарға қатысатын модельдерге қойылатын техникалық талаптар қоса беріледі. </w:t>
      </w:r>
    </w:p>
    <w:p w14:paraId="1F9AECCF" w14:textId="77777777" w:rsidR="00EE3C56" w:rsidRPr="00DC35EA" w:rsidRDefault="001574F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4.5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Қатысушы</w:t>
      </w:r>
      <w:r w:rsidR="000C55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лар Ж</w:t>
      </w:r>
      <w:r w:rsidR="00EE3C56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арыстарда өздерімен бірге әкелінген материалдар мен жабдықтарды пайдаланады. Ұйы</w:t>
      </w:r>
      <w:r w:rsidR="000C55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мдастырушылар аталған жабдықты Ж</w:t>
      </w:r>
      <w:r w:rsidR="00EE3C56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арыстарда ұсынбайды. Команданың жабдықтары сынған немесе ақаулы болған жағдайда, ұйымдастыру комитеті оларды жөндеуге немесе ауыстыруға жауапты болмайды. Командаларға қосалқы бөлшектер</w:t>
      </w:r>
      <w:r w:rsidR="007D23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жиынтығын алып жүруді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ұсынылады. </w:t>
      </w:r>
    </w:p>
    <w:p w14:paraId="157B7667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C79FF8C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Жарыс қорытындысын шығару және жеңімпаздарды марапаттау</w:t>
      </w:r>
    </w:p>
    <w:p w14:paraId="2F4D6531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72FDFA4" w14:textId="77777777" w:rsidR="00EE3C56" w:rsidRPr="00DC35EA" w:rsidRDefault="001574F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5.1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 Жарыс номинацияларын кәсіби әділ қазылар алқасы бағалау өлшемдеріне, хаттамалық</w:t>
      </w:r>
      <w:r w:rsidR="007D23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шешімдердің нәтижелеріне және 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АСФ, АМСФ, NAVIGA ережелеріне сәйкес бағалайды. Қазылар алқасының шешімі хаттамамен ресімделеді.</w:t>
      </w:r>
    </w:p>
    <w:p w14:paraId="12A3846D" w14:textId="77777777" w:rsidR="00EE3C56" w:rsidRPr="00DC35EA" w:rsidRDefault="00CC4A25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5.2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Жарыстың қорытындысы бойынша әділ қазылар алқасының мүшелері жеңімпаздарды анықтайды. Жеңімпаздар I, II, III дәрежедегі дипломдармен және </w:t>
      </w:r>
      <w:r w:rsidR="00181074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="00EE3C56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арлық қатысушыларға Жарысқа қатысқаны туралы сертификаттар беріледі.</w:t>
      </w:r>
    </w:p>
    <w:p w14:paraId="261C0804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Жарыстың қорытындысы бойынша жалпы командалық орындар анықталып, І, ІІ, ІІІ дәрежелі дипломдармен марапатталады.</w:t>
      </w:r>
    </w:p>
    <w:p w14:paraId="1C6C40B2" w14:textId="77777777" w:rsidR="001574F6" w:rsidRDefault="00F04651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  <w:r w:rsidRPr="0050314A">
        <w:rPr>
          <w:rFonts w:ascii="Times New Roman" w:hAnsi="Times New Roman" w:cs="Times New Roman"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Анықтама телефоны: 8(7232) 75-26-91</w:t>
      </w:r>
    </w:p>
    <w:p w14:paraId="7FFAABD3" w14:textId="77777777" w:rsidR="00F04651" w:rsidRDefault="00F04651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E9EC293" w14:textId="77777777" w:rsidR="003F3219" w:rsidRDefault="003F3219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954563A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62E7911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8D71CB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D8BCD92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D0053D5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ACC43CF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E2D0621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F99A40D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6FB4CD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B793503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0CF7E30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1D030D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BDED6F6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2B46534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A90DFF9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65604A5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C077B8C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02C848E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2E7F2BF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31A6E4E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CD4AB7D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6F6DB93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312D065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2AB3869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893B39D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D65A05B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CD66419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0E6F4ED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A7AC359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D1A16CC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9209EE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DAE971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860450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2E17BA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ECAEED8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F1ADE50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9F6F90F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ECBCA40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FD602E1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25A0FD3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A02BC67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DA60551" w14:textId="77777777" w:rsidR="0007530E" w:rsidRDefault="0007530E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B9B643C" w14:textId="77777777" w:rsidR="003F3219" w:rsidRDefault="003F3219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611BAD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C35E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Ережеге қосымша</w:t>
      </w:r>
    </w:p>
    <w:p w14:paraId="4F6F996F" w14:textId="77777777" w:rsidR="00EE3C56" w:rsidRPr="00DC35EA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075E0C26" w14:textId="77777777" w:rsidR="00EE3C56" w:rsidRPr="00F837F8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837F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Техникалық шығармашылық және өнертапқыштардың</w:t>
      </w:r>
    </w:p>
    <w:p w14:paraId="3E04B298" w14:textId="77777777" w:rsidR="00EE3C56" w:rsidRPr="00F837F8" w:rsidRDefault="00EE3C56" w:rsidP="001574F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837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(әуе, зымыран, көлік, кеме құрастыру) </w:t>
      </w:r>
      <w:r w:rsidR="00F837F8" w:rsidRPr="00F837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республикалық жарысының облыстық кезеңіне </w:t>
      </w:r>
      <w:r w:rsidRPr="00F837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қатысуға </w:t>
      </w:r>
      <w:r w:rsidRPr="00F837F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өтінім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72"/>
        <w:gridCol w:w="1128"/>
        <w:gridCol w:w="34"/>
        <w:gridCol w:w="855"/>
        <w:gridCol w:w="34"/>
        <w:gridCol w:w="1791"/>
        <w:gridCol w:w="34"/>
        <w:gridCol w:w="1420"/>
        <w:gridCol w:w="34"/>
        <w:gridCol w:w="1950"/>
        <w:gridCol w:w="34"/>
      </w:tblGrid>
      <w:tr w:rsidR="00EE3C56" w:rsidRPr="00DC35EA" w14:paraId="043092CE" w14:textId="77777777" w:rsidTr="00F11594">
        <w:trPr>
          <w:gridAfter w:val="1"/>
          <w:wAfter w:w="34" w:type="dxa"/>
          <w:trHeight w:val="11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22D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3D6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Модельдердің кластары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A43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Қатысушының</w:t>
            </w:r>
          </w:p>
          <w:p w14:paraId="25D52E28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Т.А. (толық, құжат бойынша)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8B12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Туған жылы, жасы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29E0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Қатысушының тұрғылықты мекенжайы толық (облыс, қала, аудан), электр. поштасы, телефоны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456E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Білім беру ұйымы толық (толық, құжат бойынша), сыныбы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3247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Жоба жетекшісінің Т.А.Ә. (толық, құжат бойынша), электронды поштасы, телефоны</w:t>
            </w:r>
          </w:p>
        </w:tc>
      </w:tr>
      <w:tr w:rsidR="00EE3C56" w:rsidRPr="00DC35EA" w14:paraId="1BBDF966" w14:textId="77777777" w:rsidTr="00F11594">
        <w:trPr>
          <w:gridAfter w:val="1"/>
          <w:wAfter w:w="34" w:type="dxa"/>
          <w:trHeight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77A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778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радиомен басқарылатын көлік модельдері</w:t>
            </w:r>
          </w:p>
        </w:tc>
      </w:tr>
      <w:tr w:rsidR="00EE3C56" w:rsidRPr="0007530E" w14:paraId="51AFD0B7" w14:textId="77777777" w:rsidTr="00F11594">
        <w:trPr>
          <w:gridAfter w:val="1"/>
          <w:wAfter w:w="34" w:type="dxa"/>
          <w:trHeight w:val="16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760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5FD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1:10 масштабта көлік модельдерін мәнерлеп жүргізу; РЦБ класы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C21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325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562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CA8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A86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EE3C56" w:rsidRPr="0007530E" w14:paraId="5FE67CEC" w14:textId="77777777" w:rsidTr="00F11594">
        <w:trPr>
          <w:gridAfter w:val="1"/>
          <w:wAfter w:w="34" w:type="dxa"/>
          <w:trHeight w:val="8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27F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00F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1:10 масштабта багги жарысы (4wd). Багги-10Э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4D5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80DC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DD2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2B1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E73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EE3C56" w:rsidRPr="00DC35EA" w14:paraId="4ED72486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033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EAD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5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әуе</w:t>
            </w:r>
            <w:proofErr w:type="spellEnd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модельдері</w:t>
            </w:r>
            <w:proofErr w:type="spellEnd"/>
          </w:p>
        </w:tc>
      </w:tr>
      <w:tr w:rsidR="00EE3C56" w:rsidRPr="00DC35EA" w14:paraId="22D55B7A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2EE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DAA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-3-Р (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пенолёт</w:t>
            </w:r>
            <w:proofErr w:type="spellEnd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моделі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E5B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C9B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E17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2A5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910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56" w:rsidRPr="00DC35EA" w14:paraId="06437008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7CA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3BB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F-1-H</w:t>
            </w: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планер моделі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6CE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FED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0EF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8DC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977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56" w:rsidRPr="00DC35EA" w14:paraId="4BCEAF23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66A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399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кордалы</w:t>
            </w:r>
            <w:proofErr w:type="spellEnd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жарты копия, 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контурлы</w:t>
            </w:r>
            <w:proofErr w:type="spellEnd"/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моделі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E6B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6E8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BD1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374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CCC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56" w:rsidRPr="00DC35EA" w14:paraId="3629692D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376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639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модельдері</w:t>
            </w:r>
            <w:proofErr w:type="spellEnd"/>
          </w:p>
        </w:tc>
      </w:tr>
      <w:tr w:rsidR="00EE3C56" w:rsidRPr="00DC35EA" w14:paraId="0A0EF48A" w14:textId="77777777" w:rsidTr="00F11594">
        <w:trPr>
          <w:trHeight w:val="1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F79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3C7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-2 –</w:t>
            </w:r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5A6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84E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840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6C5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880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56" w:rsidRPr="00DC35EA" w14:paraId="1030DACD" w14:textId="77777777" w:rsidTr="00F11594">
        <w:trPr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408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60F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 Expert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0BB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343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633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997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89B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56" w:rsidRPr="00DC35EA" w14:paraId="4335FFE8" w14:textId="77777777" w:rsidTr="00F11594">
        <w:trPr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1CE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3.3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2AD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 Eco Expert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4B1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F15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7DE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52C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DFC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56" w:rsidRPr="00DC35EA" w14:paraId="21E406B5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C70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067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зымыран</w:t>
            </w:r>
            <w:proofErr w:type="spellEnd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модельдері</w:t>
            </w:r>
            <w:proofErr w:type="spellEnd"/>
          </w:p>
        </w:tc>
      </w:tr>
      <w:tr w:rsidR="00EE3C56" w:rsidRPr="00DC35EA" w14:paraId="07BEED7C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7D3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AB9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S6А – стример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993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B99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557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C64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499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56" w:rsidRPr="00DC35EA" w14:paraId="1D2F6594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0BD" w14:textId="77777777" w:rsidR="00EE3C56" w:rsidRPr="00DC35EA" w:rsidRDefault="00EE3C56" w:rsidP="001574F6">
            <w:pPr>
              <w:widowControl w:val="0"/>
              <w:tabs>
                <w:tab w:val="left" w:pos="0"/>
                <w:tab w:val="left" w:pos="1108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051" w14:textId="77777777" w:rsidR="00EE3C56" w:rsidRPr="00DC35EA" w:rsidRDefault="00EE3C56" w:rsidP="001574F6">
            <w:pPr>
              <w:widowControl w:val="0"/>
              <w:tabs>
                <w:tab w:val="left" w:pos="0"/>
                <w:tab w:val="left" w:pos="1108"/>
                <w:tab w:val="left" w:pos="113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тікелей жүретін автотрассалық модельдер (жартылай көшірме)</w:t>
            </w:r>
          </w:p>
        </w:tc>
      </w:tr>
      <w:tr w:rsidR="00EE3C56" w:rsidRPr="00DC35EA" w14:paraId="2B604859" w14:textId="77777777" w:rsidTr="00F11594">
        <w:trPr>
          <w:gridAfter w:val="1"/>
          <w:wAfter w:w="34" w:type="dxa"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5DF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44F" w14:textId="77777777" w:rsidR="00EE3C56" w:rsidRPr="00DC35EA" w:rsidRDefault="00EE3C56" w:rsidP="00157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1/24 </w:t>
            </w:r>
            <w:proofErr w:type="spellStart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>масштабтағы</w:t>
            </w:r>
            <w:proofErr w:type="spellEnd"/>
            <w:r w:rsidRPr="00DC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4E8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BF0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FFE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9E4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8C5" w14:textId="77777777" w:rsidR="00EE3C56" w:rsidRPr="00DC35EA" w:rsidRDefault="00EE3C56" w:rsidP="001574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C43C73" w14:textId="77777777" w:rsidR="00EE3C56" w:rsidRPr="00DC35EA" w:rsidRDefault="00EE3C56" w:rsidP="001574F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 w:bidi="ru-RU"/>
        </w:rPr>
      </w:pPr>
    </w:p>
    <w:p w14:paraId="2E4FD182" w14:textId="77777777" w:rsidR="00EE3C56" w:rsidRPr="00DC35EA" w:rsidRDefault="00EE3C56" w:rsidP="001574F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C35E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Топ жетекшілері: (Т. А. Ә. (толық), жұмыс орны, лауазымы, телефоны) </w:t>
      </w:r>
    </w:p>
    <w:p w14:paraId="472537E0" w14:textId="77777777" w:rsidR="00EE3C56" w:rsidRPr="00DC35EA" w:rsidRDefault="00EE3C56" w:rsidP="001574F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C35E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________________________________________________</w:t>
      </w:r>
    </w:p>
    <w:p w14:paraId="3E22B817" w14:textId="77777777" w:rsidR="0007530E" w:rsidRPr="0007530E" w:rsidRDefault="0007530E" w:rsidP="001574F6">
      <w:pPr>
        <w:tabs>
          <w:tab w:val="left" w:pos="0"/>
        </w:tabs>
        <w:jc w:val="both"/>
        <w:rPr>
          <w:lang w:val="kk-KZ"/>
        </w:rPr>
      </w:pPr>
    </w:p>
    <w:sectPr w:rsidR="001B5E11" w:rsidRPr="0007530E" w:rsidSect="00E107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D1F4D"/>
    <w:multiLevelType w:val="hybridMultilevel"/>
    <w:tmpl w:val="102E0CA8"/>
    <w:lvl w:ilvl="0" w:tplc="1CA652DE">
      <w:start w:val="3"/>
      <w:numFmt w:val="decimal"/>
      <w:lvlText w:val="%1)"/>
      <w:lvlJc w:val="left"/>
      <w:pPr>
        <w:ind w:left="928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num w:numId="1" w16cid:durableId="23182023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8D6"/>
    <w:rsid w:val="00070798"/>
    <w:rsid w:val="0007530E"/>
    <w:rsid w:val="000C55CE"/>
    <w:rsid w:val="00137C27"/>
    <w:rsid w:val="001574F6"/>
    <w:rsid w:val="00181074"/>
    <w:rsid w:val="002E29B2"/>
    <w:rsid w:val="003F3219"/>
    <w:rsid w:val="004F3693"/>
    <w:rsid w:val="006A192B"/>
    <w:rsid w:val="006D72CE"/>
    <w:rsid w:val="007D235E"/>
    <w:rsid w:val="00854BFF"/>
    <w:rsid w:val="00905227"/>
    <w:rsid w:val="00923469"/>
    <w:rsid w:val="00A609AB"/>
    <w:rsid w:val="00A6654C"/>
    <w:rsid w:val="00A8430E"/>
    <w:rsid w:val="00B714BF"/>
    <w:rsid w:val="00C42578"/>
    <w:rsid w:val="00C44354"/>
    <w:rsid w:val="00CC4A25"/>
    <w:rsid w:val="00CD3764"/>
    <w:rsid w:val="00D76D6E"/>
    <w:rsid w:val="00D843B5"/>
    <w:rsid w:val="00DD28D6"/>
    <w:rsid w:val="00E1075E"/>
    <w:rsid w:val="00E55F17"/>
    <w:rsid w:val="00E9254B"/>
    <w:rsid w:val="00EA01F3"/>
    <w:rsid w:val="00EE3C56"/>
    <w:rsid w:val="00EF66E1"/>
    <w:rsid w:val="00F04651"/>
    <w:rsid w:val="00F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795C"/>
  <w15:docId w15:val="{29F7493C-4771-480C-8816-35AA3C42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User</cp:lastModifiedBy>
  <cp:revision>34</cp:revision>
  <dcterms:created xsi:type="dcterms:W3CDTF">2024-02-02T06:20:00Z</dcterms:created>
  <dcterms:modified xsi:type="dcterms:W3CDTF">2024-03-13T07:04:00Z</dcterms:modified>
</cp:coreProperties>
</file>